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2323" w:rsidRDefault="00DC2323" w:rsidP="00DC2323">
      <w:pPr>
        <w:jc w:val="center"/>
        <w:rPr>
          <w:rFonts w:ascii="Times New Roman" w:hAnsi="Times New Roman" w:cs="Times New Roman"/>
          <w:sz w:val="24"/>
          <w:szCs w:val="24"/>
        </w:rPr>
      </w:pPr>
    </w:p>
    <w:p w:rsidR="00DC2323" w:rsidRDefault="00DC2323" w:rsidP="00DC2323">
      <w:pPr>
        <w:jc w:val="center"/>
        <w:rPr>
          <w:rFonts w:ascii="Times New Roman" w:hAnsi="Times New Roman" w:cs="Times New Roman"/>
          <w:sz w:val="24"/>
          <w:szCs w:val="24"/>
        </w:rPr>
      </w:pPr>
    </w:p>
    <w:p w:rsidR="00DC2323" w:rsidRDefault="00DC2323" w:rsidP="00DC2323">
      <w:pPr>
        <w:jc w:val="center"/>
        <w:rPr>
          <w:rFonts w:ascii="Times New Roman" w:hAnsi="Times New Roman" w:cs="Times New Roman"/>
          <w:sz w:val="24"/>
          <w:szCs w:val="24"/>
        </w:rPr>
      </w:pPr>
    </w:p>
    <w:p w:rsidR="00DC2323" w:rsidRDefault="00DC2323" w:rsidP="00DC2323">
      <w:pPr>
        <w:jc w:val="center"/>
        <w:rPr>
          <w:rFonts w:ascii="Times New Roman" w:hAnsi="Times New Roman" w:cs="Times New Roman"/>
          <w:sz w:val="24"/>
          <w:szCs w:val="24"/>
        </w:rPr>
      </w:pPr>
    </w:p>
    <w:p w:rsidR="005D0CF1" w:rsidRDefault="00DC2323" w:rsidP="00DC2323">
      <w:pPr>
        <w:jc w:val="center"/>
        <w:rPr>
          <w:rFonts w:ascii="Times New Roman" w:hAnsi="Times New Roman" w:cs="Times New Roman"/>
          <w:sz w:val="24"/>
          <w:szCs w:val="24"/>
        </w:rPr>
      </w:pPr>
      <w:r>
        <w:rPr>
          <w:rFonts w:ascii="Times New Roman" w:hAnsi="Times New Roman" w:cs="Times New Roman"/>
          <w:sz w:val="24"/>
          <w:szCs w:val="24"/>
        </w:rPr>
        <w:t>Name</w:t>
      </w:r>
    </w:p>
    <w:p w:rsidR="00DC2323" w:rsidRDefault="00DC2323" w:rsidP="00DC2323">
      <w:pPr>
        <w:jc w:val="center"/>
        <w:rPr>
          <w:rFonts w:ascii="Times New Roman" w:hAnsi="Times New Roman" w:cs="Times New Roman"/>
          <w:sz w:val="24"/>
          <w:szCs w:val="24"/>
        </w:rPr>
      </w:pPr>
      <w:r>
        <w:rPr>
          <w:rFonts w:ascii="Times New Roman" w:hAnsi="Times New Roman" w:cs="Times New Roman"/>
          <w:sz w:val="24"/>
          <w:szCs w:val="24"/>
        </w:rPr>
        <w:t>Institution</w:t>
      </w:r>
    </w:p>
    <w:p w:rsidR="00DC2323" w:rsidRDefault="00DC2323" w:rsidP="00DC2323">
      <w:pPr>
        <w:jc w:val="center"/>
        <w:rPr>
          <w:rFonts w:ascii="Times New Roman" w:hAnsi="Times New Roman" w:cs="Times New Roman"/>
          <w:sz w:val="24"/>
          <w:szCs w:val="24"/>
        </w:rPr>
      </w:pPr>
    </w:p>
    <w:p w:rsidR="00A001EF" w:rsidRDefault="00A001EF" w:rsidP="00DC2323">
      <w:pPr>
        <w:jc w:val="center"/>
        <w:rPr>
          <w:rFonts w:ascii="Times New Roman" w:hAnsi="Times New Roman" w:cs="Times New Roman"/>
          <w:sz w:val="24"/>
          <w:szCs w:val="24"/>
        </w:rPr>
      </w:pPr>
    </w:p>
    <w:p w:rsidR="00A001EF" w:rsidRDefault="00A001EF" w:rsidP="00DC2323">
      <w:pPr>
        <w:jc w:val="center"/>
        <w:rPr>
          <w:rFonts w:ascii="Times New Roman" w:hAnsi="Times New Roman" w:cs="Times New Roman"/>
          <w:sz w:val="24"/>
          <w:szCs w:val="24"/>
        </w:rPr>
      </w:pPr>
    </w:p>
    <w:p w:rsidR="00A001EF" w:rsidRDefault="00A001EF" w:rsidP="00DC2323">
      <w:pPr>
        <w:jc w:val="center"/>
        <w:rPr>
          <w:rFonts w:ascii="Times New Roman" w:hAnsi="Times New Roman" w:cs="Times New Roman"/>
          <w:sz w:val="24"/>
          <w:szCs w:val="24"/>
        </w:rPr>
      </w:pPr>
    </w:p>
    <w:p w:rsidR="00A001EF" w:rsidRDefault="00A001EF" w:rsidP="00DC2323">
      <w:pPr>
        <w:jc w:val="center"/>
        <w:rPr>
          <w:rFonts w:ascii="Times New Roman" w:hAnsi="Times New Roman" w:cs="Times New Roman"/>
          <w:sz w:val="24"/>
          <w:szCs w:val="24"/>
        </w:rPr>
      </w:pPr>
      <w:bookmarkStart w:id="0" w:name="_GoBack"/>
      <w:bookmarkEnd w:id="0"/>
    </w:p>
    <w:p w:rsidR="00DC2323" w:rsidRDefault="00DC2323" w:rsidP="00DC2323">
      <w:pPr>
        <w:jc w:val="center"/>
        <w:rPr>
          <w:rFonts w:ascii="Times New Roman" w:hAnsi="Times New Roman" w:cs="Times New Roman"/>
          <w:sz w:val="24"/>
          <w:szCs w:val="24"/>
        </w:rPr>
      </w:pPr>
    </w:p>
    <w:p w:rsidR="00DC2323" w:rsidRDefault="00DC2323" w:rsidP="00DC2323">
      <w:pPr>
        <w:jc w:val="center"/>
        <w:rPr>
          <w:rFonts w:ascii="Times New Roman" w:hAnsi="Times New Roman" w:cs="Times New Roman"/>
          <w:sz w:val="24"/>
          <w:szCs w:val="24"/>
        </w:rPr>
      </w:pPr>
    </w:p>
    <w:p w:rsidR="00DC2323" w:rsidRDefault="00DC2323" w:rsidP="00DC2323">
      <w:pPr>
        <w:jc w:val="center"/>
        <w:rPr>
          <w:rFonts w:ascii="Times New Roman" w:hAnsi="Times New Roman" w:cs="Times New Roman"/>
          <w:sz w:val="24"/>
          <w:szCs w:val="24"/>
        </w:rPr>
      </w:pPr>
    </w:p>
    <w:p w:rsidR="00DC2323" w:rsidRDefault="00DC2323" w:rsidP="00DC2323">
      <w:pPr>
        <w:jc w:val="center"/>
        <w:rPr>
          <w:rFonts w:ascii="Times New Roman" w:hAnsi="Times New Roman" w:cs="Times New Roman"/>
          <w:sz w:val="24"/>
          <w:szCs w:val="24"/>
        </w:rPr>
      </w:pPr>
    </w:p>
    <w:p w:rsidR="00DC2323" w:rsidRDefault="00DC2323" w:rsidP="00DC2323">
      <w:pPr>
        <w:jc w:val="center"/>
        <w:rPr>
          <w:rFonts w:ascii="Times New Roman" w:hAnsi="Times New Roman" w:cs="Times New Roman"/>
          <w:sz w:val="24"/>
          <w:szCs w:val="24"/>
        </w:rPr>
      </w:pPr>
    </w:p>
    <w:p w:rsidR="00DC2323" w:rsidRDefault="00DC2323" w:rsidP="00DC2323">
      <w:pPr>
        <w:jc w:val="center"/>
        <w:rPr>
          <w:rFonts w:ascii="Times New Roman" w:hAnsi="Times New Roman" w:cs="Times New Roman"/>
          <w:sz w:val="24"/>
          <w:szCs w:val="24"/>
        </w:rPr>
      </w:pPr>
    </w:p>
    <w:p w:rsidR="00DC2323" w:rsidRDefault="00DC2323" w:rsidP="00DC2323">
      <w:pPr>
        <w:jc w:val="center"/>
        <w:rPr>
          <w:rFonts w:ascii="Times New Roman" w:hAnsi="Times New Roman" w:cs="Times New Roman"/>
          <w:sz w:val="24"/>
          <w:szCs w:val="24"/>
        </w:rPr>
      </w:pPr>
    </w:p>
    <w:p w:rsidR="00DC2323" w:rsidRDefault="007E32DA" w:rsidP="00CB295C">
      <w:pPr>
        <w:jc w:val="both"/>
        <w:rPr>
          <w:rFonts w:ascii="Times New Roman" w:hAnsi="Times New Roman" w:cs="Times New Roman"/>
          <w:sz w:val="24"/>
          <w:szCs w:val="24"/>
        </w:rPr>
      </w:pPr>
      <w:r>
        <w:rPr>
          <w:rFonts w:ascii="Times New Roman" w:hAnsi="Times New Roman" w:cs="Times New Roman"/>
          <w:sz w:val="24"/>
          <w:szCs w:val="24"/>
        </w:rPr>
        <w:t xml:space="preserve">The company chosen for this assignment is the </w:t>
      </w:r>
      <w:r w:rsidR="00607F63">
        <w:rPr>
          <w:rFonts w:ascii="Times New Roman" w:hAnsi="Times New Roman" w:cs="Times New Roman"/>
          <w:sz w:val="24"/>
          <w:szCs w:val="24"/>
        </w:rPr>
        <w:t>C</w:t>
      </w:r>
      <w:r>
        <w:rPr>
          <w:rFonts w:ascii="Times New Roman" w:hAnsi="Times New Roman" w:cs="Times New Roman"/>
          <w:sz w:val="24"/>
          <w:szCs w:val="24"/>
        </w:rPr>
        <w:t xml:space="preserve">oca </w:t>
      </w:r>
      <w:r w:rsidR="00607F63">
        <w:rPr>
          <w:rFonts w:ascii="Times New Roman" w:hAnsi="Times New Roman" w:cs="Times New Roman"/>
          <w:sz w:val="24"/>
          <w:szCs w:val="24"/>
        </w:rPr>
        <w:t>C</w:t>
      </w:r>
      <w:r>
        <w:rPr>
          <w:rFonts w:ascii="Times New Roman" w:hAnsi="Times New Roman" w:cs="Times New Roman"/>
          <w:sz w:val="24"/>
          <w:szCs w:val="24"/>
        </w:rPr>
        <w:t xml:space="preserve">ola </w:t>
      </w:r>
      <w:r w:rsidR="00607F63">
        <w:rPr>
          <w:rFonts w:ascii="Times New Roman" w:hAnsi="Times New Roman" w:cs="Times New Roman"/>
          <w:sz w:val="24"/>
          <w:szCs w:val="24"/>
        </w:rPr>
        <w:t>Company</w:t>
      </w:r>
      <w:r>
        <w:rPr>
          <w:rFonts w:ascii="Times New Roman" w:hAnsi="Times New Roman" w:cs="Times New Roman"/>
          <w:sz w:val="24"/>
          <w:szCs w:val="24"/>
        </w:rPr>
        <w:t>.</w:t>
      </w:r>
      <w:r w:rsidR="00F77BA2">
        <w:rPr>
          <w:rFonts w:ascii="Times New Roman" w:hAnsi="Times New Roman" w:cs="Times New Roman"/>
          <w:sz w:val="24"/>
          <w:szCs w:val="24"/>
        </w:rPr>
        <w:t xml:space="preserve"> The company has the choice of using the absorption costing or variable costing in determining its profits. </w:t>
      </w:r>
      <w:r w:rsidR="005F35D8">
        <w:rPr>
          <w:rFonts w:ascii="Times New Roman" w:hAnsi="Times New Roman" w:cs="Times New Roman"/>
          <w:sz w:val="24"/>
          <w:szCs w:val="24"/>
        </w:rPr>
        <w:t>Since the company is well known worldwide, it is imperative that it makes the best choice in regard to the method of costing to use to keep track of its profits. Both absorption cost</w:t>
      </w:r>
      <w:r w:rsidR="00F501A1">
        <w:rPr>
          <w:rFonts w:ascii="Times New Roman" w:hAnsi="Times New Roman" w:cs="Times New Roman"/>
          <w:sz w:val="24"/>
          <w:szCs w:val="24"/>
        </w:rPr>
        <w:t xml:space="preserve">ing and </w:t>
      </w:r>
      <w:r w:rsidR="00DA6295">
        <w:rPr>
          <w:rFonts w:ascii="Times New Roman" w:hAnsi="Times New Roman" w:cs="Times New Roman"/>
          <w:sz w:val="24"/>
          <w:szCs w:val="24"/>
        </w:rPr>
        <w:t xml:space="preserve">variable costing have their pros and cons. </w:t>
      </w:r>
      <w:r w:rsidR="00607F63">
        <w:rPr>
          <w:rFonts w:ascii="Times New Roman" w:hAnsi="Times New Roman" w:cs="Times New Roman"/>
          <w:sz w:val="24"/>
          <w:szCs w:val="24"/>
        </w:rPr>
        <w:t>I</w:t>
      </w:r>
      <w:r w:rsidR="00DA6295">
        <w:rPr>
          <w:rFonts w:ascii="Times New Roman" w:hAnsi="Times New Roman" w:cs="Times New Roman"/>
          <w:sz w:val="24"/>
          <w:szCs w:val="24"/>
        </w:rPr>
        <w:t xml:space="preserve">t is imperative to also understand the meaning of both absorption and variable costing. </w:t>
      </w:r>
      <w:r w:rsidR="00C73267">
        <w:rPr>
          <w:rFonts w:ascii="Times New Roman" w:hAnsi="Times New Roman" w:cs="Times New Roman"/>
          <w:sz w:val="24"/>
          <w:szCs w:val="24"/>
        </w:rPr>
        <w:t xml:space="preserve">Absorption costing refers to the </w:t>
      </w:r>
      <w:r w:rsidR="009A41D4">
        <w:rPr>
          <w:rFonts w:ascii="Times New Roman" w:hAnsi="Times New Roman" w:cs="Times New Roman"/>
          <w:sz w:val="24"/>
          <w:szCs w:val="24"/>
        </w:rPr>
        <w:t>method whereby</w:t>
      </w:r>
      <w:r w:rsidR="00A46C7C">
        <w:rPr>
          <w:rFonts w:ascii="Times New Roman" w:hAnsi="Times New Roman" w:cs="Times New Roman"/>
          <w:sz w:val="24"/>
          <w:szCs w:val="24"/>
        </w:rPr>
        <w:t xml:space="preserve"> the company </w:t>
      </w:r>
      <w:r w:rsidR="00901970">
        <w:rPr>
          <w:rFonts w:ascii="Times New Roman" w:hAnsi="Times New Roman" w:cs="Times New Roman"/>
          <w:sz w:val="24"/>
          <w:szCs w:val="24"/>
        </w:rPr>
        <w:t xml:space="preserve">applies part of its overhead costs to the cost of manufacturing the products. </w:t>
      </w:r>
      <w:r w:rsidR="00CF7413">
        <w:rPr>
          <w:rFonts w:ascii="Times New Roman" w:hAnsi="Times New Roman" w:cs="Times New Roman"/>
          <w:sz w:val="24"/>
          <w:szCs w:val="24"/>
        </w:rPr>
        <w:t xml:space="preserve">This is done per unit basis. </w:t>
      </w:r>
      <w:r w:rsidR="00493C46">
        <w:rPr>
          <w:rFonts w:ascii="Times New Roman" w:hAnsi="Times New Roman" w:cs="Times New Roman"/>
          <w:sz w:val="24"/>
          <w:szCs w:val="24"/>
        </w:rPr>
        <w:t>On the other hand, variable costing</w:t>
      </w:r>
      <w:r w:rsidR="00607F63">
        <w:rPr>
          <w:rFonts w:ascii="Times New Roman" w:hAnsi="Times New Roman" w:cs="Times New Roman"/>
          <w:sz w:val="24"/>
          <w:szCs w:val="24"/>
        </w:rPr>
        <w:t xml:space="preserve"> uses</w:t>
      </w:r>
      <w:r w:rsidR="00493C46">
        <w:rPr>
          <w:rFonts w:ascii="Times New Roman" w:hAnsi="Times New Roman" w:cs="Times New Roman"/>
          <w:sz w:val="24"/>
          <w:szCs w:val="24"/>
        </w:rPr>
        <w:t xml:space="preserve"> </w:t>
      </w:r>
      <w:r w:rsidR="00AF41F2">
        <w:rPr>
          <w:rFonts w:ascii="Times New Roman" w:hAnsi="Times New Roman" w:cs="Times New Roman"/>
          <w:sz w:val="24"/>
          <w:szCs w:val="24"/>
        </w:rPr>
        <w:t>fixed overheads as a lump sum</w:t>
      </w:r>
      <w:r w:rsidR="00754278">
        <w:rPr>
          <w:rFonts w:ascii="Times New Roman" w:hAnsi="Times New Roman" w:cs="Times New Roman"/>
          <w:sz w:val="24"/>
          <w:szCs w:val="24"/>
        </w:rPr>
        <w:t xml:space="preserve"> instead of per unit basis</w:t>
      </w:r>
      <w:r w:rsidR="00CB295C">
        <w:rPr>
          <w:rFonts w:ascii="Times New Roman" w:hAnsi="Times New Roman" w:cs="Times New Roman"/>
          <w:sz w:val="24"/>
          <w:szCs w:val="24"/>
        </w:rPr>
        <w:t xml:space="preserve"> (</w:t>
      </w:r>
      <w:r w:rsidR="00CB295C">
        <w:rPr>
          <w:rFonts w:ascii="Times New Roman" w:eastAsia="Times New Roman" w:hAnsi="Times New Roman" w:cs="Times New Roman"/>
          <w:sz w:val="24"/>
          <w:szCs w:val="24"/>
        </w:rPr>
        <w:t xml:space="preserve">Christian, </w:t>
      </w:r>
      <w:r w:rsidR="00CB295C" w:rsidRPr="00CB295C">
        <w:rPr>
          <w:rFonts w:ascii="Times New Roman" w:eastAsia="Times New Roman" w:hAnsi="Times New Roman" w:cs="Times New Roman"/>
          <w:sz w:val="24"/>
          <w:szCs w:val="24"/>
        </w:rPr>
        <w:t>2018).</w:t>
      </w:r>
    </w:p>
    <w:p w:rsidR="00E401A5" w:rsidRDefault="00754278" w:rsidP="00CB295C">
      <w:pPr>
        <w:jc w:val="both"/>
        <w:rPr>
          <w:rFonts w:ascii="Times New Roman" w:hAnsi="Times New Roman" w:cs="Times New Roman"/>
          <w:sz w:val="24"/>
          <w:szCs w:val="24"/>
        </w:rPr>
      </w:pPr>
      <w:r>
        <w:rPr>
          <w:rFonts w:ascii="Times New Roman" w:hAnsi="Times New Roman" w:cs="Times New Roman"/>
          <w:sz w:val="24"/>
          <w:szCs w:val="24"/>
        </w:rPr>
        <w:t xml:space="preserve">In regard to the pros and cons, </w:t>
      </w:r>
      <w:r w:rsidR="00914D6C">
        <w:rPr>
          <w:rFonts w:ascii="Times New Roman" w:hAnsi="Times New Roman" w:cs="Times New Roman"/>
          <w:sz w:val="24"/>
          <w:szCs w:val="24"/>
        </w:rPr>
        <w:t>absorption costing</w:t>
      </w:r>
      <w:r w:rsidR="00BB48A8">
        <w:rPr>
          <w:rFonts w:ascii="Times New Roman" w:hAnsi="Times New Roman" w:cs="Times New Roman"/>
          <w:sz w:val="24"/>
          <w:szCs w:val="24"/>
        </w:rPr>
        <w:t xml:space="preserve"> has the advantage </w:t>
      </w:r>
      <w:r w:rsidR="00F72AF4">
        <w:rPr>
          <w:rFonts w:ascii="Times New Roman" w:hAnsi="Times New Roman" w:cs="Times New Roman"/>
          <w:sz w:val="24"/>
          <w:szCs w:val="24"/>
        </w:rPr>
        <w:t xml:space="preserve">when the company has not sold all of its manufactured products during the accounting period. This is because the expense is not shown until </w:t>
      </w:r>
      <w:r w:rsidR="00700C2E">
        <w:rPr>
          <w:rFonts w:ascii="Times New Roman" w:hAnsi="Times New Roman" w:cs="Times New Roman"/>
          <w:sz w:val="24"/>
          <w:szCs w:val="24"/>
        </w:rPr>
        <w:t>the company sells the product.</w:t>
      </w:r>
      <w:r w:rsidR="00990290">
        <w:rPr>
          <w:rFonts w:ascii="Times New Roman" w:hAnsi="Times New Roman" w:cs="Times New Roman"/>
          <w:sz w:val="24"/>
          <w:szCs w:val="24"/>
        </w:rPr>
        <w:t xml:space="preserve"> This can improve the profit for the period. </w:t>
      </w:r>
      <w:r w:rsidR="00C10B40">
        <w:rPr>
          <w:rFonts w:ascii="Times New Roman" w:hAnsi="Times New Roman" w:cs="Times New Roman"/>
          <w:sz w:val="24"/>
          <w:szCs w:val="24"/>
        </w:rPr>
        <w:t xml:space="preserve">On the other hand, </w:t>
      </w:r>
      <w:r w:rsidR="007C23BB">
        <w:rPr>
          <w:rFonts w:ascii="Times New Roman" w:hAnsi="Times New Roman" w:cs="Times New Roman"/>
          <w:sz w:val="24"/>
          <w:szCs w:val="24"/>
        </w:rPr>
        <w:t xml:space="preserve">it may have a disadvantage. The disadvantage is that </w:t>
      </w:r>
      <w:r w:rsidR="00A56CE2">
        <w:rPr>
          <w:rFonts w:ascii="Times New Roman" w:hAnsi="Times New Roman" w:cs="Times New Roman"/>
          <w:sz w:val="24"/>
          <w:szCs w:val="24"/>
        </w:rPr>
        <w:t xml:space="preserve">it can artificially inflate the company’s profit figures in any given accounting period.  </w:t>
      </w:r>
      <w:r w:rsidR="00E401A5">
        <w:rPr>
          <w:rFonts w:ascii="Times New Roman" w:hAnsi="Times New Roman" w:cs="Times New Roman"/>
          <w:sz w:val="24"/>
          <w:szCs w:val="24"/>
        </w:rPr>
        <w:t>This is because the company will not deduct all of its fixed overheads when it has not sold all of its manufactured products</w:t>
      </w:r>
      <w:r w:rsidR="00CB295C">
        <w:rPr>
          <w:rFonts w:ascii="Times New Roman" w:hAnsi="Times New Roman" w:cs="Times New Roman"/>
          <w:sz w:val="24"/>
          <w:szCs w:val="24"/>
        </w:rPr>
        <w:t xml:space="preserve"> (</w:t>
      </w:r>
      <w:r w:rsidR="00CB295C">
        <w:rPr>
          <w:rFonts w:ascii="Times New Roman" w:eastAsia="Times New Roman" w:hAnsi="Times New Roman" w:cs="Times New Roman"/>
          <w:sz w:val="24"/>
          <w:szCs w:val="24"/>
        </w:rPr>
        <w:t xml:space="preserve">Christian, </w:t>
      </w:r>
      <w:r w:rsidR="00CB295C" w:rsidRPr="00CB295C">
        <w:rPr>
          <w:rFonts w:ascii="Times New Roman" w:eastAsia="Times New Roman" w:hAnsi="Times New Roman" w:cs="Times New Roman"/>
          <w:sz w:val="24"/>
          <w:szCs w:val="24"/>
        </w:rPr>
        <w:t>2018).</w:t>
      </w:r>
    </w:p>
    <w:p w:rsidR="00593F17" w:rsidRDefault="00593F17" w:rsidP="00CB295C">
      <w:pPr>
        <w:jc w:val="both"/>
        <w:rPr>
          <w:rFonts w:ascii="Times New Roman" w:hAnsi="Times New Roman" w:cs="Times New Roman"/>
          <w:sz w:val="24"/>
          <w:szCs w:val="24"/>
        </w:rPr>
      </w:pPr>
      <w:r>
        <w:rPr>
          <w:rFonts w:ascii="Times New Roman" w:hAnsi="Times New Roman" w:cs="Times New Roman"/>
          <w:sz w:val="24"/>
          <w:szCs w:val="24"/>
        </w:rPr>
        <w:t xml:space="preserve">Variable costing on the other </w:t>
      </w:r>
      <w:r w:rsidR="00F116D5">
        <w:rPr>
          <w:rFonts w:ascii="Times New Roman" w:hAnsi="Times New Roman" w:cs="Times New Roman"/>
          <w:sz w:val="24"/>
          <w:szCs w:val="24"/>
        </w:rPr>
        <w:t xml:space="preserve">hand, has an advantage of </w:t>
      </w:r>
      <w:r w:rsidR="003C1EFD">
        <w:rPr>
          <w:rFonts w:ascii="Times New Roman" w:hAnsi="Times New Roman" w:cs="Times New Roman"/>
          <w:sz w:val="24"/>
          <w:szCs w:val="24"/>
        </w:rPr>
        <w:t>show</w:t>
      </w:r>
      <w:r w:rsidR="004A4AD3">
        <w:rPr>
          <w:rFonts w:ascii="Times New Roman" w:hAnsi="Times New Roman" w:cs="Times New Roman"/>
          <w:sz w:val="24"/>
          <w:szCs w:val="24"/>
        </w:rPr>
        <w:t>ing</w:t>
      </w:r>
      <w:r w:rsidR="00F116D5">
        <w:rPr>
          <w:rFonts w:ascii="Times New Roman" w:hAnsi="Times New Roman" w:cs="Times New Roman"/>
          <w:sz w:val="24"/>
          <w:szCs w:val="24"/>
        </w:rPr>
        <w:t xml:space="preserve"> all the profits after </w:t>
      </w:r>
      <w:r w:rsidR="003C1EFD">
        <w:rPr>
          <w:rFonts w:ascii="Times New Roman" w:hAnsi="Times New Roman" w:cs="Times New Roman"/>
          <w:sz w:val="24"/>
          <w:szCs w:val="24"/>
        </w:rPr>
        <w:t xml:space="preserve">all the bills have been </w:t>
      </w:r>
      <w:r w:rsidR="00CB295C">
        <w:rPr>
          <w:rFonts w:ascii="Times New Roman" w:hAnsi="Times New Roman" w:cs="Times New Roman"/>
          <w:sz w:val="24"/>
          <w:szCs w:val="24"/>
        </w:rPr>
        <w:t>paid for</w:t>
      </w:r>
      <w:r w:rsidR="003C1EFD">
        <w:rPr>
          <w:rFonts w:ascii="Times New Roman" w:hAnsi="Times New Roman" w:cs="Times New Roman"/>
          <w:sz w:val="24"/>
          <w:szCs w:val="24"/>
        </w:rPr>
        <w:t xml:space="preserve"> the accounting </w:t>
      </w:r>
      <w:r w:rsidR="00615A3B">
        <w:rPr>
          <w:rFonts w:ascii="Times New Roman" w:hAnsi="Times New Roman" w:cs="Times New Roman"/>
          <w:sz w:val="24"/>
          <w:szCs w:val="24"/>
        </w:rPr>
        <w:t xml:space="preserve">period. On the other hand, it has a disadvantage of showing full payment for fixed overhead expenses for the accounting period. </w:t>
      </w:r>
      <w:r w:rsidR="007B2881">
        <w:rPr>
          <w:rFonts w:ascii="Times New Roman" w:hAnsi="Times New Roman" w:cs="Times New Roman"/>
          <w:sz w:val="24"/>
          <w:szCs w:val="24"/>
        </w:rPr>
        <w:t>This means that this method shows reduced income because of the unsold products but full expenses for overheads</w:t>
      </w:r>
      <w:r w:rsidR="00CB295C">
        <w:rPr>
          <w:rFonts w:ascii="Times New Roman" w:hAnsi="Times New Roman" w:cs="Times New Roman"/>
          <w:sz w:val="24"/>
          <w:szCs w:val="24"/>
        </w:rPr>
        <w:t xml:space="preserve"> (</w:t>
      </w:r>
      <w:r w:rsidR="00CB295C">
        <w:rPr>
          <w:rFonts w:ascii="Times New Roman" w:eastAsia="Times New Roman" w:hAnsi="Times New Roman" w:cs="Times New Roman"/>
          <w:sz w:val="24"/>
          <w:szCs w:val="24"/>
        </w:rPr>
        <w:t>Horngren, 2015</w:t>
      </w:r>
      <w:r w:rsidR="00CB295C" w:rsidRPr="00CB295C">
        <w:rPr>
          <w:rFonts w:ascii="Times New Roman" w:eastAsia="Times New Roman" w:hAnsi="Times New Roman" w:cs="Times New Roman"/>
          <w:sz w:val="24"/>
          <w:szCs w:val="24"/>
        </w:rPr>
        <w:t>).</w:t>
      </w:r>
    </w:p>
    <w:p w:rsidR="00DC2323" w:rsidRDefault="00DC2323" w:rsidP="00583434">
      <w:pPr>
        <w:ind w:firstLine="0"/>
        <w:jc w:val="both"/>
        <w:rPr>
          <w:rFonts w:ascii="Times New Roman" w:hAnsi="Times New Roman" w:cs="Times New Roman"/>
          <w:sz w:val="24"/>
          <w:szCs w:val="24"/>
        </w:rPr>
      </w:pPr>
    </w:p>
    <w:p w:rsidR="00583434" w:rsidRDefault="00CB295C" w:rsidP="00BA0AB7">
      <w:pPr>
        <w:jc w:val="center"/>
        <w:rPr>
          <w:rFonts w:ascii="Times New Roman" w:hAnsi="Times New Roman" w:cs="Times New Roman"/>
          <w:sz w:val="24"/>
          <w:szCs w:val="24"/>
        </w:rPr>
      </w:pPr>
      <w:r>
        <w:rPr>
          <w:rFonts w:ascii="Times New Roman" w:hAnsi="Times New Roman" w:cs="Times New Roman"/>
          <w:sz w:val="24"/>
          <w:szCs w:val="24"/>
        </w:rPr>
        <w:t>References</w:t>
      </w:r>
    </w:p>
    <w:p w:rsidR="00583434" w:rsidRPr="00CB295C" w:rsidRDefault="00583434" w:rsidP="00583434">
      <w:pPr>
        <w:spacing w:after="0"/>
        <w:ind w:left="720" w:hanging="720"/>
        <w:jc w:val="left"/>
        <w:rPr>
          <w:rFonts w:ascii="Times New Roman" w:eastAsia="Times New Roman" w:hAnsi="Times New Roman" w:cs="Times New Roman"/>
          <w:sz w:val="24"/>
          <w:szCs w:val="24"/>
        </w:rPr>
      </w:pPr>
      <w:r w:rsidRPr="00CB295C">
        <w:rPr>
          <w:rFonts w:ascii="Times New Roman" w:eastAsia="Times New Roman" w:hAnsi="Times New Roman" w:cs="Times New Roman"/>
          <w:sz w:val="24"/>
          <w:szCs w:val="24"/>
        </w:rPr>
        <w:t xml:space="preserve">Christian, D. (2018). Building Cost Management: Case Study Using Costing Methods. </w:t>
      </w:r>
      <w:r w:rsidRPr="00CB295C">
        <w:rPr>
          <w:rFonts w:ascii="Times New Roman" w:eastAsia="Times New Roman" w:hAnsi="Times New Roman" w:cs="Times New Roman"/>
          <w:i/>
          <w:iCs/>
          <w:sz w:val="24"/>
          <w:szCs w:val="24"/>
        </w:rPr>
        <w:t>IJAME</w:t>
      </w:r>
      <w:r w:rsidRPr="00CB295C">
        <w:rPr>
          <w:rFonts w:ascii="Times New Roman" w:eastAsia="Times New Roman" w:hAnsi="Times New Roman" w:cs="Times New Roman"/>
          <w:sz w:val="24"/>
          <w:szCs w:val="24"/>
        </w:rPr>
        <w:t>.</w:t>
      </w:r>
    </w:p>
    <w:p w:rsidR="00583434" w:rsidRPr="00CB295C" w:rsidRDefault="00583434" w:rsidP="00583434">
      <w:pPr>
        <w:spacing w:after="0"/>
        <w:ind w:left="720" w:hanging="72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Horngren, C. T. (2015</w:t>
      </w:r>
      <w:r w:rsidRPr="00CB295C">
        <w:rPr>
          <w:rFonts w:ascii="Times New Roman" w:eastAsia="Times New Roman" w:hAnsi="Times New Roman" w:cs="Times New Roman"/>
          <w:sz w:val="24"/>
          <w:szCs w:val="24"/>
        </w:rPr>
        <w:t xml:space="preserve">). </w:t>
      </w:r>
      <w:r w:rsidRPr="00CB295C">
        <w:rPr>
          <w:rFonts w:ascii="Times New Roman" w:eastAsia="Times New Roman" w:hAnsi="Times New Roman" w:cs="Times New Roman"/>
          <w:i/>
          <w:iCs/>
          <w:sz w:val="24"/>
          <w:szCs w:val="24"/>
        </w:rPr>
        <w:t>Cost accounting: A managerial emphasis, 13/e</w:t>
      </w:r>
      <w:r w:rsidRPr="00CB295C">
        <w:rPr>
          <w:rFonts w:ascii="Times New Roman" w:eastAsia="Times New Roman" w:hAnsi="Times New Roman" w:cs="Times New Roman"/>
          <w:sz w:val="24"/>
          <w:szCs w:val="24"/>
        </w:rPr>
        <w:t>. Pearson Education India.</w:t>
      </w:r>
    </w:p>
    <w:p w:rsidR="00DC2323" w:rsidRDefault="00DC2323" w:rsidP="00DC2323">
      <w:pPr>
        <w:jc w:val="center"/>
        <w:rPr>
          <w:rFonts w:ascii="Times New Roman" w:hAnsi="Times New Roman" w:cs="Times New Roman"/>
          <w:sz w:val="24"/>
          <w:szCs w:val="24"/>
        </w:rPr>
      </w:pPr>
    </w:p>
    <w:p w:rsidR="00DC2323" w:rsidRPr="000759AC" w:rsidRDefault="00DC2323" w:rsidP="00214396">
      <w:pPr>
        <w:jc w:val="left"/>
        <w:rPr>
          <w:rFonts w:ascii="Times New Roman" w:hAnsi="Times New Roman" w:cs="Times New Roman"/>
          <w:sz w:val="24"/>
          <w:szCs w:val="24"/>
        </w:rPr>
      </w:pPr>
    </w:p>
    <w:sectPr w:rsidR="00DC2323" w:rsidRPr="000759AC" w:rsidSect="00DC23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0671" w:rsidRDefault="003B0671" w:rsidP="00DC2323">
      <w:pPr>
        <w:spacing w:after="0" w:line="240" w:lineRule="auto"/>
      </w:pPr>
      <w:r>
        <w:separator/>
      </w:r>
    </w:p>
  </w:endnote>
  <w:endnote w:type="continuationSeparator" w:id="0">
    <w:p w:rsidR="003B0671" w:rsidRDefault="003B0671" w:rsidP="00DC2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0671" w:rsidRDefault="003B0671" w:rsidP="00DC2323">
      <w:pPr>
        <w:spacing w:after="0" w:line="240" w:lineRule="auto"/>
      </w:pPr>
      <w:r>
        <w:separator/>
      </w:r>
    </w:p>
  </w:footnote>
  <w:footnote w:type="continuationSeparator" w:id="0">
    <w:p w:rsidR="003B0671" w:rsidRDefault="003B0671" w:rsidP="00DC2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07403"/>
      <w:docPartObj>
        <w:docPartGallery w:val="Page Numbers (Top of Page)"/>
        <w:docPartUnique/>
      </w:docPartObj>
    </w:sdtPr>
    <w:sdtEndPr/>
    <w:sdtContent>
      <w:p w:rsidR="00DC2323" w:rsidRDefault="00DC2323">
        <w:pPr>
          <w:pStyle w:val="Header"/>
        </w:pPr>
        <w:r w:rsidRPr="00DC2323">
          <w:rPr>
            <w:rFonts w:ascii="Times New Roman" w:hAnsi="Times New Roman" w:cs="Times New Roman"/>
            <w:sz w:val="24"/>
            <w:szCs w:val="24"/>
          </w:rPr>
          <w:t xml:space="preserve">ABSORPTION AND VARIABLE COSTING </w:t>
        </w:r>
        <w:r>
          <w:rPr>
            <w:rFonts w:ascii="Times New Roman" w:hAnsi="Times New Roman" w:cs="Times New Roman"/>
            <w:sz w:val="24"/>
            <w:szCs w:val="24"/>
          </w:rPr>
          <w:tab/>
        </w:r>
        <w:r w:rsidRPr="00DC2323">
          <w:rPr>
            <w:rFonts w:ascii="Times New Roman" w:hAnsi="Times New Roman" w:cs="Times New Roman"/>
            <w:sz w:val="24"/>
            <w:szCs w:val="24"/>
          </w:rPr>
          <w:fldChar w:fldCharType="begin"/>
        </w:r>
        <w:r w:rsidRPr="00DC2323">
          <w:rPr>
            <w:rFonts w:ascii="Times New Roman" w:hAnsi="Times New Roman" w:cs="Times New Roman"/>
            <w:sz w:val="24"/>
            <w:szCs w:val="24"/>
          </w:rPr>
          <w:instrText xml:space="preserve"> PAGE   \* MERGEFORMAT </w:instrText>
        </w:r>
        <w:r w:rsidRPr="00DC2323">
          <w:rPr>
            <w:rFonts w:ascii="Times New Roman" w:hAnsi="Times New Roman" w:cs="Times New Roman"/>
            <w:sz w:val="24"/>
            <w:szCs w:val="24"/>
          </w:rPr>
          <w:fldChar w:fldCharType="separate"/>
        </w:r>
        <w:r w:rsidR="00A001EF">
          <w:rPr>
            <w:rFonts w:ascii="Times New Roman" w:hAnsi="Times New Roman" w:cs="Times New Roman"/>
            <w:noProof/>
            <w:sz w:val="24"/>
            <w:szCs w:val="24"/>
          </w:rPr>
          <w:t>3</w:t>
        </w:r>
        <w:r w:rsidRPr="00DC2323">
          <w:rPr>
            <w:rFonts w:ascii="Times New Roman" w:hAnsi="Times New Roman" w:cs="Times New Roman"/>
            <w:sz w:val="24"/>
            <w:szCs w:val="24"/>
          </w:rPr>
          <w:fldChar w:fldCharType="end"/>
        </w:r>
      </w:p>
    </w:sdtContent>
  </w:sdt>
  <w:p w:rsidR="00DC2323" w:rsidRDefault="00DC23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807390"/>
      <w:docPartObj>
        <w:docPartGallery w:val="Page Numbers (Top of Page)"/>
        <w:docPartUnique/>
      </w:docPartObj>
    </w:sdtPr>
    <w:sdtEndPr>
      <w:rPr>
        <w:rFonts w:asciiTheme="minorHAnsi" w:hAnsiTheme="minorHAnsi" w:cstheme="minorBidi"/>
        <w:sz w:val="22"/>
        <w:szCs w:val="22"/>
      </w:rPr>
    </w:sdtEndPr>
    <w:sdtContent>
      <w:p w:rsidR="00DC2323" w:rsidRDefault="00DC2323">
        <w:pPr>
          <w:pStyle w:val="Header"/>
        </w:pPr>
        <w:r w:rsidRPr="00DC2323">
          <w:rPr>
            <w:rFonts w:ascii="Times New Roman" w:hAnsi="Times New Roman" w:cs="Times New Roman"/>
            <w:sz w:val="24"/>
            <w:szCs w:val="24"/>
          </w:rPr>
          <w:t>Running Head: ABSORPTION AND VARIABLE COSTING</w:t>
        </w:r>
        <w:r>
          <w:tab/>
          <w:t xml:space="preserve"> </w:t>
        </w:r>
        <w:r w:rsidRPr="00DC2323">
          <w:rPr>
            <w:rFonts w:ascii="Times New Roman" w:hAnsi="Times New Roman" w:cs="Times New Roman"/>
            <w:sz w:val="24"/>
            <w:szCs w:val="24"/>
          </w:rPr>
          <w:fldChar w:fldCharType="begin"/>
        </w:r>
        <w:r w:rsidRPr="00DC2323">
          <w:rPr>
            <w:rFonts w:ascii="Times New Roman" w:hAnsi="Times New Roman" w:cs="Times New Roman"/>
            <w:sz w:val="24"/>
            <w:szCs w:val="24"/>
          </w:rPr>
          <w:instrText xml:space="preserve"> PAGE   \* MERGEFORMAT </w:instrText>
        </w:r>
        <w:r w:rsidRPr="00DC2323">
          <w:rPr>
            <w:rFonts w:ascii="Times New Roman" w:hAnsi="Times New Roman" w:cs="Times New Roman"/>
            <w:sz w:val="24"/>
            <w:szCs w:val="24"/>
          </w:rPr>
          <w:fldChar w:fldCharType="separate"/>
        </w:r>
        <w:r w:rsidR="00A001EF">
          <w:rPr>
            <w:rFonts w:ascii="Times New Roman" w:hAnsi="Times New Roman" w:cs="Times New Roman"/>
            <w:noProof/>
            <w:sz w:val="24"/>
            <w:szCs w:val="24"/>
          </w:rPr>
          <w:t>1</w:t>
        </w:r>
        <w:r w:rsidRPr="00DC2323">
          <w:rPr>
            <w:rFonts w:ascii="Times New Roman" w:hAnsi="Times New Roman" w:cs="Times New Roman"/>
            <w:sz w:val="24"/>
            <w:szCs w:val="24"/>
          </w:rPr>
          <w:fldChar w:fldCharType="end"/>
        </w:r>
      </w:p>
    </w:sdtContent>
  </w:sdt>
  <w:p w:rsidR="00DC2323" w:rsidRDefault="00DC23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9AC"/>
    <w:rsid w:val="000759AC"/>
    <w:rsid w:val="001449F5"/>
    <w:rsid w:val="00214396"/>
    <w:rsid w:val="003B0671"/>
    <w:rsid w:val="003C1EFD"/>
    <w:rsid w:val="00493C46"/>
    <w:rsid w:val="004A4AD3"/>
    <w:rsid w:val="00583434"/>
    <w:rsid w:val="00593F17"/>
    <w:rsid w:val="005D0CF1"/>
    <w:rsid w:val="005F35D8"/>
    <w:rsid w:val="00607F63"/>
    <w:rsid w:val="00615A3B"/>
    <w:rsid w:val="006F513A"/>
    <w:rsid w:val="00700C2E"/>
    <w:rsid w:val="00754278"/>
    <w:rsid w:val="007B2881"/>
    <w:rsid w:val="007C23BB"/>
    <w:rsid w:val="007E32DA"/>
    <w:rsid w:val="00901970"/>
    <w:rsid w:val="00914D6C"/>
    <w:rsid w:val="00990290"/>
    <w:rsid w:val="009A41D4"/>
    <w:rsid w:val="00A001EF"/>
    <w:rsid w:val="00A46C7C"/>
    <w:rsid w:val="00A56CE2"/>
    <w:rsid w:val="00AF41F2"/>
    <w:rsid w:val="00B4627B"/>
    <w:rsid w:val="00BA0AB7"/>
    <w:rsid w:val="00BB48A8"/>
    <w:rsid w:val="00C10B40"/>
    <w:rsid w:val="00C43D50"/>
    <w:rsid w:val="00C73267"/>
    <w:rsid w:val="00CB295C"/>
    <w:rsid w:val="00CF7413"/>
    <w:rsid w:val="00D25535"/>
    <w:rsid w:val="00DA6295"/>
    <w:rsid w:val="00DC2323"/>
    <w:rsid w:val="00E401A5"/>
    <w:rsid w:val="00F116D5"/>
    <w:rsid w:val="00F501A1"/>
    <w:rsid w:val="00F72AF4"/>
    <w:rsid w:val="00F77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6AEB52-6F9B-4D66-85CF-28D241C3D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C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323"/>
  </w:style>
  <w:style w:type="paragraph" w:styleId="Footer">
    <w:name w:val="footer"/>
    <w:basedOn w:val="Normal"/>
    <w:link w:val="FooterChar"/>
    <w:uiPriority w:val="99"/>
    <w:semiHidden/>
    <w:unhideWhenUsed/>
    <w:rsid w:val="00DC23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C2323"/>
  </w:style>
  <w:style w:type="paragraph" w:styleId="BalloonText">
    <w:name w:val="Balloon Text"/>
    <w:basedOn w:val="Normal"/>
    <w:link w:val="BalloonTextChar"/>
    <w:uiPriority w:val="99"/>
    <w:semiHidden/>
    <w:unhideWhenUsed/>
    <w:rsid w:val="00DC23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3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969068">
      <w:bodyDiv w:val="1"/>
      <w:marLeft w:val="0"/>
      <w:marRight w:val="0"/>
      <w:marTop w:val="0"/>
      <w:marBottom w:val="0"/>
      <w:divBdr>
        <w:top w:val="none" w:sz="0" w:space="0" w:color="auto"/>
        <w:left w:val="none" w:sz="0" w:space="0" w:color="auto"/>
        <w:bottom w:val="none" w:sz="0" w:space="0" w:color="auto"/>
        <w:right w:val="none" w:sz="0" w:space="0" w:color="auto"/>
      </w:divBdr>
      <w:divsChild>
        <w:div w:id="801001115">
          <w:marLeft w:val="0"/>
          <w:marRight w:val="0"/>
          <w:marTop w:val="0"/>
          <w:marBottom w:val="0"/>
          <w:divBdr>
            <w:top w:val="none" w:sz="0" w:space="0" w:color="auto"/>
            <w:left w:val="none" w:sz="0" w:space="0" w:color="auto"/>
            <w:bottom w:val="none" w:sz="0" w:space="0" w:color="auto"/>
            <w:right w:val="none" w:sz="0" w:space="0" w:color="auto"/>
          </w:divBdr>
        </w:div>
      </w:divsChild>
    </w:div>
    <w:div w:id="1400641072">
      <w:bodyDiv w:val="1"/>
      <w:marLeft w:val="0"/>
      <w:marRight w:val="0"/>
      <w:marTop w:val="0"/>
      <w:marBottom w:val="0"/>
      <w:divBdr>
        <w:top w:val="none" w:sz="0" w:space="0" w:color="auto"/>
        <w:left w:val="none" w:sz="0" w:space="0" w:color="auto"/>
        <w:bottom w:val="none" w:sz="0" w:space="0" w:color="auto"/>
        <w:right w:val="none" w:sz="0" w:space="0" w:color="auto"/>
      </w:divBdr>
      <w:divsChild>
        <w:div w:id="2168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2018-09-14T20:52:00Z</dcterms:created>
  <dcterms:modified xsi:type="dcterms:W3CDTF">2018-09-14T20:52:00Z</dcterms:modified>
</cp:coreProperties>
</file>